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Montevideo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Ana Laura Nis (PN -Lavalleja)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Emerson Arbelo (FA -Paysandú)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Marisol D”Albora (FA -Canelones)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Robert Costa (PC -Rivera)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Graciela Benquet (PN -Soriano)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Florencia Bielli (FA -Canelones)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Carmen Araujo (PN – Cerro Largo)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Tesorer</w:t>
      </w:r>
      <w:r>
        <w:rPr>
          <w:rFonts w:cs="Verdana" w:ascii="Verdana" w:hAnsi="Verdana"/>
          <w:b/>
          <w:bCs/>
          <w:sz w:val="20"/>
          <w:szCs w:val="20"/>
          <w:u w:val="single"/>
        </w:rPr>
        <w:t>o del CNE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Javier Ramírez (FA -Maldonado)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 xml:space="preserve">Se da comienzo a la reunión con el tema ingresado </w:t>
      </w:r>
      <w:r>
        <w:rPr>
          <w:rFonts w:ascii="Verdana" w:hAnsi="Verdana"/>
          <w:sz w:val="20"/>
          <w:szCs w:val="20"/>
        </w:rPr>
        <w:t>006/25 sobre el informe del Tribunal de Cuentas en base a la solicitud del CNE por el presupuesto del mismo.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as dudas que el TCR establece, y algunos paralelismos que establecen creemos se debe de tratar en una reunión personal, que ellos mismos plantean. Para participar de dicha reunión sugerimos a la Mesa Permanente que ademas de Mesa Ejecutiva participe en representación de Comisión Fiscal el Presidente y Secretario junto al tesorero del CNE. 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 xml:space="preserve">Abordamos el Asunto 007/25, solicitud de mesa Ejecutiva del CNE para que esta comisión genere una nueva reglamentación de sus competencias y funcionamiento. </w:t>
      </w:r>
      <w:r>
        <w:rPr>
          <w:rFonts w:ascii="Verdana" w:hAnsi="Verdana"/>
          <w:sz w:val="20"/>
          <w:szCs w:val="20"/>
        </w:rPr>
        <w:t>Resolvimos ir avanzando en este tema en las sucesivas reuniones, manteniendo el tema en carpeta.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 xml:space="preserve">Como otro tema, decidimos </w:t>
      </w:r>
      <w:r>
        <w:rPr>
          <w:rFonts w:ascii="Verdana" w:hAnsi="Verdana"/>
          <w:sz w:val="20"/>
          <w:szCs w:val="20"/>
        </w:rPr>
        <w:t>plantea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generar un organigrama de CNE, lo que nos da</w:t>
      </w:r>
      <w:r>
        <w:rPr>
          <w:rFonts w:ascii="Verdana" w:hAnsi="Verdana"/>
          <w:sz w:val="20"/>
          <w:szCs w:val="20"/>
        </w:rPr>
        <w:t>rá l</w:t>
      </w:r>
      <w:r>
        <w:rPr>
          <w:rFonts w:ascii="Verdana" w:hAnsi="Verdana"/>
          <w:sz w:val="20"/>
          <w:szCs w:val="20"/>
        </w:rPr>
        <w:t xml:space="preserve">a claridad de lo que representa cada una de las partes, </w:t>
      </w:r>
      <w:r>
        <w:rPr>
          <w:rFonts w:ascii="Verdana" w:hAnsi="Verdana"/>
          <w:sz w:val="20"/>
          <w:szCs w:val="20"/>
        </w:rPr>
        <w:t xml:space="preserve">tanto las electas como las designadas por acuerdo </w:t>
      </w:r>
      <w:r>
        <w:rPr>
          <w:rFonts w:ascii="Verdana" w:hAnsi="Verdana"/>
          <w:sz w:val="20"/>
          <w:szCs w:val="20"/>
        </w:rPr>
        <w:t xml:space="preserve">en las comisiones. El organigrama seria de la siguiente forma: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Cuerpodetexto"/>
        <w:numPr>
          <w:ilvl w:val="0"/>
          <w:numId w:val="1"/>
        </w:numPr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CONGRESO NACIONAL DE EDILES (589 Ediles electos) </w:t>
      </w:r>
    </w:p>
    <w:p>
      <w:pPr>
        <w:pStyle w:val="Cuerpodetexto"/>
        <w:numPr>
          <w:ilvl w:val="0"/>
          <w:numId w:val="1"/>
        </w:numPr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MESA PERMANENTE (Mesa </w:t>
      </w:r>
      <w:r>
        <w:rPr>
          <w:rFonts w:ascii="Verdana" w:hAnsi="Verdana"/>
          <w:sz w:val="20"/>
          <w:szCs w:val="20"/>
        </w:rPr>
        <w:t>Ejecutiva – Plenario de los 16 Ediles) / COMISIÓN FISCAL / COMISIÓN ELECTORAL.</w:t>
      </w:r>
    </w:p>
    <w:p>
      <w:pPr>
        <w:pStyle w:val="Cuerpodetexto"/>
        <w:numPr>
          <w:ilvl w:val="0"/>
          <w:numId w:val="1"/>
        </w:numPr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COMISIONES ASESORAS DEL CNE</w:t>
      </w:r>
      <w:r>
        <w:rPr>
          <w:rFonts w:ascii="Verdana" w:hAnsi="Verdana"/>
          <w:sz w:val="20"/>
          <w:szCs w:val="20"/>
        </w:rPr>
        <w:t xml:space="preserve">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4. El tesorero del CNE nos informa sobre los viáticos pendiente de reintegro, donde 2 de ellos fueron gestionados y ya devueltos, quedando pendiente </w:t>
      </w:r>
      <w:r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de los cuales uno esta en gestión y el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otro no</w:t>
      </w:r>
      <w:r>
        <w:rPr>
          <w:rFonts w:ascii="Verdana" w:hAnsi="Verdana"/>
          <w:sz w:val="20"/>
          <w:szCs w:val="20"/>
        </w:rPr>
        <w:t xml:space="preserve"> ha respondido a la solicitud. Este ultimo sabemos que es el Sr. Eduardo Díaz del Partido Nacional, de la Junta Departamental de Florida, </w:t>
      </w:r>
      <w:r>
        <w:rPr>
          <w:rFonts w:ascii="Verdana" w:hAnsi="Verdana"/>
          <w:sz w:val="20"/>
          <w:szCs w:val="20"/>
        </w:rPr>
        <w:t>con</w:t>
      </w:r>
      <w:r>
        <w:rPr>
          <w:rFonts w:ascii="Verdana" w:hAnsi="Verdana"/>
          <w:sz w:val="20"/>
          <w:szCs w:val="20"/>
        </w:rPr>
        <w:t xml:space="preserve"> un monto de $ 15.000. El mismo ya no es mas Edil y no pertenece mas a esa fuerza política. Por ende remitimos a la MP este tema, </w:t>
      </w:r>
      <w:r>
        <w:rPr>
          <w:rFonts w:ascii="Verdana" w:hAnsi="Verdana"/>
          <w:sz w:val="20"/>
          <w:szCs w:val="20"/>
        </w:rPr>
        <w:t>sugiriendo</w:t>
      </w:r>
      <w:r>
        <w:rPr>
          <w:rFonts w:ascii="Verdana" w:hAnsi="Verdana"/>
          <w:sz w:val="20"/>
          <w:szCs w:val="20"/>
        </w:rPr>
        <w:t xml:space="preserve"> que la misma tome resolución </w:t>
      </w:r>
      <w:r>
        <w:rPr>
          <w:rFonts w:ascii="Verdana" w:hAnsi="Verdana"/>
          <w:sz w:val="20"/>
          <w:szCs w:val="20"/>
        </w:rPr>
        <w:t>definitiva.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or otro lado en base a ello trabajaremos en reglamentar una nueva forma de reintegro de </w:t>
      </w:r>
      <w:r>
        <w:rPr>
          <w:rFonts w:ascii="Verdana" w:hAnsi="Verdana"/>
          <w:sz w:val="20"/>
          <w:szCs w:val="20"/>
        </w:rPr>
        <w:t>viáticos</w:t>
      </w:r>
      <w:r>
        <w:rPr>
          <w:rFonts w:ascii="Verdana" w:hAnsi="Verdana"/>
          <w:sz w:val="20"/>
          <w:szCs w:val="20"/>
        </w:rPr>
        <w:t xml:space="preserve">, para  </w:t>
      </w:r>
      <w:r>
        <w:rPr>
          <w:rFonts w:ascii="Verdana" w:hAnsi="Verdana"/>
          <w:sz w:val="20"/>
          <w:szCs w:val="20"/>
        </w:rPr>
        <w:t>darle certeza jurídicas y garantizar efectivamente el cobro.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Secretario       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1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FISCAL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4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LibreOffice/6.0.7.3$Windows_X86_64 LibreOffice_project/dc89aa7a9eabfd848af146d5086077aeed2ae4a5</Application>
  <Pages>2</Pages>
  <Words>421</Words>
  <Characters>2223</Characters>
  <CharactersWithSpaces>2736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2024-11-18T16:29:00Z</dcterms:created>
  <dc:creator>win</dc:creator>
  <dc:description/>
  <dc:language>en-US</dc:language>
  <cp:lastModifiedBy/>
  <cp:lastPrinted>2024-11-02T14:24:00Z</cp:lastPrinted>
  <dcterms:modified xsi:type="dcterms:W3CDTF">2025-10-18T12:07:40Z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