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3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Montevideo, 18 de octubre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Montevideo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la Junta Departamental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>: Antony Meneses. Rivera. PN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Secretario</w:t>
      </w:r>
      <w:r>
        <w:rPr>
          <w:rFonts w:cs="Verdana" w:ascii="Verdana" w:hAnsi="Verdana"/>
          <w:sz w:val="20"/>
          <w:szCs w:val="20"/>
        </w:rPr>
        <w:t xml:space="preserve">: </w:t>
      </w:r>
      <w:bookmarkStart w:id="0" w:name="__DdeLink__573_3791416195"/>
      <w:r>
        <w:rPr>
          <w:rFonts w:cs="Verdana" w:ascii="Verdana" w:hAnsi="Verdana"/>
          <w:sz w:val="20"/>
          <w:szCs w:val="20"/>
        </w:rPr>
        <w:t xml:space="preserve">Germán </w:t>
      </w:r>
      <w:r>
        <w:rPr>
          <w:rFonts w:cs="Verdana" w:ascii="Verdana" w:hAnsi="Verdana"/>
          <w:sz w:val="20"/>
          <w:szCs w:val="20"/>
        </w:rPr>
        <w:t>González</w:t>
      </w:r>
      <w:r>
        <w:rPr>
          <w:rFonts w:cs="Verdana" w:ascii="Verdana" w:hAnsi="Verdana"/>
          <w:sz w:val="20"/>
          <w:szCs w:val="20"/>
        </w:rPr>
        <w:t xml:space="preserve"> San Jos</w:t>
      </w:r>
      <w:r>
        <w:rPr>
          <w:rFonts w:cs="Verdana" w:ascii="Verdana" w:hAnsi="Verdana"/>
          <w:sz w:val="20"/>
          <w:szCs w:val="20"/>
        </w:rPr>
        <w:t>é</w:t>
      </w:r>
      <w:r>
        <w:rPr>
          <w:rFonts w:cs="Verdana" w:ascii="Verdana" w:hAnsi="Verdana"/>
          <w:sz w:val="20"/>
          <w:szCs w:val="20"/>
        </w:rPr>
        <w:t xml:space="preserve"> FA</w:t>
      </w:r>
      <w:bookmarkEnd w:id="0"/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Milton Olivera Colonia PN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Claudio Zanoniani Paysan</w:t>
      </w:r>
      <w:r>
        <w:rPr>
          <w:rFonts w:cs="Verdana" w:ascii="Verdana" w:hAnsi="Verdana"/>
          <w:sz w:val="20"/>
          <w:szCs w:val="20"/>
        </w:rPr>
        <w:t>dú</w:t>
      </w:r>
      <w:r>
        <w:rPr>
          <w:rFonts w:cs="Verdana" w:ascii="Verdana" w:hAnsi="Verdana"/>
          <w:sz w:val="20"/>
          <w:szCs w:val="20"/>
        </w:rPr>
        <w:t xml:space="preserve"> PN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Beatriz Peña Flores FA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Estela Aguiar. Treinta y Tres PN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 xml:space="preserve">: Francisco Gentille Paysandu FA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 xml:space="preserve">: </w:t>
      </w:r>
      <w:r>
        <w:rPr>
          <w:rFonts w:cs="Verdana" w:ascii="Verdana" w:hAnsi="Verdana"/>
          <w:b w:val="false"/>
          <w:bCs w:val="false"/>
          <w:sz w:val="20"/>
          <w:szCs w:val="20"/>
        </w:rPr>
        <w:t xml:space="preserve">Germán </w:t>
      </w:r>
      <w:r>
        <w:rPr>
          <w:rFonts w:cs="Verdana" w:ascii="Verdana" w:hAnsi="Verdana"/>
          <w:b w:val="false"/>
          <w:bCs w:val="false"/>
          <w:sz w:val="20"/>
          <w:szCs w:val="20"/>
        </w:rPr>
        <w:t>González.</w:t>
      </w:r>
      <w:r>
        <w:rPr>
          <w:rFonts w:cs="Verdana" w:ascii="Verdana" w:hAnsi="Verdana"/>
          <w:b w:val="false"/>
          <w:bCs w:val="false"/>
          <w:sz w:val="20"/>
          <w:szCs w:val="20"/>
        </w:rPr>
        <w:t xml:space="preserve"> San </w:t>
      </w:r>
      <w:r>
        <w:rPr>
          <w:rFonts w:cs="Verdana" w:ascii="Verdana" w:hAnsi="Verdana"/>
          <w:b w:val="false"/>
          <w:bCs w:val="false"/>
          <w:sz w:val="20"/>
          <w:szCs w:val="20"/>
        </w:rPr>
        <w:t>José</w:t>
      </w:r>
      <w:r>
        <w:rPr>
          <w:rFonts w:cs="Verdana" w:ascii="Verdana" w:hAnsi="Verdana"/>
          <w:b w:val="false"/>
          <w:bCs w:val="false"/>
          <w:sz w:val="20"/>
          <w:szCs w:val="20"/>
        </w:rPr>
        <w:t xml:space="preserve"> FA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1. Recibimos en conjunto con la comisión con Asuntos internacional al Director de Asuntos Fronterizos del ministerio de relaciones exteriores Juan Carlos Ojeda.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Informe resumido de la presentación del director.</w:t>
      </w:r>
    </w:p>
    <w:p>
      <w:pPr>
        <w:pStyle w:val="Cuerpodetexto"/>
        <w:tabs>
          <w:tab w:val="left" w:pos="7371" w:leader="none"/>
          <w:tab w:val="left" w:pos="7513" w:leader="none"/>
        </w:tabs>
        <w:jc w:val="left"/>
        <w:rPr/>
      </w:pPr>
      <w:r>
        <w:rPr>
          <w:rFonts w:ascii="Verdana" w:hAnsi="Verdana"/>
          <w:sz w:val="20"/>
          <w:szCs w:val="20"/>
        </w:rPr>
        <w:t>Puente Bella Unión – Monte Caseros</w:t>
        <w:br/>
        <w:br/>
        <w:t>El representante explicó que el proyecto del puente entre Bella Unión (Uruguay) y Monte Caseros (Argentina) tiene una larga historia de coordinación binacional.</w:t>
        <w:br/>
      </w:r>
    </w:p>
    <w:p>
      <w:pPr>
        <w:pStyle w:val="Cuerpodetexto"/>
        <w:tabs>
          <w:tab w:val="left" w:pos="7371" w:leader="none"/>
          <w:tab w:val="left" w:pos="7513" w:leader="none"/>
        </w:tabs>
        <w:jc w:val="left"/>
        <w:rPr/>
      </w:pPr>
      <w:r>
        <w:rPr>
          <w:rFonts w:ascii="Verdana" w:hAnsi="Verdana"/>
          <w:sz w:val="20"/>
          <w:szCs w:val="20"/>
        </w:rPr>
        <w:t>Impulsado históricamente por la Provincia de Corrientes (Argentina) desde 1985.</w:t>
        <w:br/>
        <w:t>En 2004, la CARU elaboró un estudio técnico-financiero para licitación internacional y gestión de diseño, construcción y mantenimiento.</w:t>
      </w:r>
    </w:p>
    <w:p>
      <w:pPr>
        <w:pStyle w:val="Cuerpodetexto"/>
        <w:tabs>
          <w:tab w:val="left" w:pos="7371" w:leader="none"/>
          <w:tab w:val="left" w:pos="7513" w:leader="none"/>
        </w:tabs>
        <w:jc w:val="left"/>
        <w:rPr/>
      </w:pPr>
      <w:r>
        <w:rPr>
          <w:rFonts w:ascii="Verdana" w:hAnsi="Verdana"/>
          <w:sz w:val="20"/>
          <w:szCs w:val="20"/>
        </w:rPr>
        <w:t>Compromisos binacionales: reunión plenaria 2010 y declaración de Buenos Aires, reafirmando la voluntad política de avanzar en el proyecto.</w:t>
        <w:br/>
        <w:br/>
        <w:t>Financiamiento</w:t>
        <w:br/>
        <w:t>Costo estimado: 104 millones de dólares (82 millones para la estructura, 13 millones para obras complementarias, 8 millones para accesos).</w:t>
        <w:br/>
        <w:t>Aportes: un tercio de la CARU y dos tercios de créditos internacionales, respaldados por peajes de otros puentes binacionales.</w:t>
        <w:br/>
        <w:t xml:space="preserve">Se evaluó modelo público-privado, aunque avances concretos y firmas referentes para la </w:t>
      </w:r>
      <w:r>
        <w:rPr>
          <w:rFonts w:ascii="Verdana" w:hAnsi="Verdana"/>
          <w:sz w:val="20"/>
          <w:szCs w:val="20"/>
        </w:rPr>
        <w:t>concreción</w:t>
      </w:r>
      <w:r>
        <w:rPr>
          <w:rFonts w:ascii="Verdana" w:hAnsi="Verdana"/>
          <w:sz w:val="20"/>
          <w:szCs w:val="20"/>
        </w:rPr>
        <w:t xml:space="preserve"> o inicio de alguna iniciativa al respecto aún no hay, </w:t>
      </w:r>
      <w:r>
        <w:rPr>
          <w:rFonts w:ascii="Verdana" w:hAnsi="Verdana"/>
          <w:sz w:val="20"/>
          <w:szCs w:val="20"/>
        </w:rPr>
        <w:t>así</w:t>
      </w:r>
      <w:r>
        <w:rPr>
          <w:rFonts w:ascii="Verdana" w:hAnsi="Verdana"/>
          <w:sz w:val="20"/>
          <w:szCs w:val="20"/>
        </w:rPr>
        <w:t xml:space="preserve"> como tampoco proyección de para cuando se podrá llevar adelante.</w:t>
        <w:br/>
        <w:br/>
        <w:t>Importancia estratégica</w:t>
        <w:br/>
        <w:t>Facilitarían movilidad de personas y mercancías.</w:t>
        <w:br/>
        <w:t>Promueve un polo de desarrollo económico en Bella Unión.</w:t>
        <w:br/>
        <w:t>Potencia la coordinación fronteriza y el control integrado.</w:t>
        <w:br/>
        <w:br/>
        <w:t>Situación actual</w:t>
        <w:br/>
        <w:t>Licitación aún no llamada, pero estudios y proyecciones actualizados confirman viabilidad.</w:t>
        <w:br/>
        <w:t>Gobierno uruguayo mantiene interés activo y diálogo con autoridades argentinas para financiamiento y gestión.</w:t>
        <w:br/>
        <w:br/>
        <w:t>2. Puente Río Yaguarón (Río Branco – Jaguarão)</w:t>
        <w:br/>
        <w:br/>
        <w:t>Licitación adjudicada en 2024; licencia ambiental otorgada en febrero 2025; obras previstas para 2025-2027. Habra un nuevo relevamiento por recomendaciones técnicas DINASEA categoría B</w:t>
        <w:br/>
        <w:t>Financiado principalmente por Brasil; Uruguay responsable del accesos.</w:t>
        <w:br/>
        <w:br/>
        <w:t>Beneficios estratégicos</w:t>
        <w:br/>
        <w:t>Mejora la conectividad binacional, especialmente para carga pesada y transporte internacional.</w:t>
        <w:br/>
        <w:t>Permite la preservación del Mauá para tránsito liviano y turismo.</w:t>
        <w:br/>
        <w:t>Impulsa desarrollo regional, comercio y turismo.</w:t>
        <w:br/>
        <w:t>Refuerza la cooperación política y logística entre ambos países.</w:t>
        <w:br/>
        <w:br/>
        <w:t>Ambas obras representan oportunidades para: Mejorar el flujo comercial y turístico, generar empleo y desarrollo local, Consolidar la cooperación binacional, preservar patrimonio histórico mientras se moderniza la infraestructura.</w:t>
        <w:br/>
        <w:br/>
        <w:t>Son un instrumento clave de integración regional, que conecta pueblos, protege la historia y proyecta un futuro más dinámico y seguro para las fronteras de Uruguay.</w:t>
      </w:r>
    </w:p>
    <w:p>
      <w:pPr>
        <w:pStyle w:val="Cuerpodetexto"/>
        <w:tabs>
          <w:tab w:val="left" w:pos="7371" w:leader="none"/>
          <w:tab w:val="left" w:pos="7513" w:leader="none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left"/>
        <w:rPr/>
      </w:pPr>
      <w:r>
        <w:rPr>
          <w:rFonts w:ascii="Verdana" w:hAnsi="Verdana"/>
          <w:sz w:val="20"/>
          <w:szCs w:val="20"/>
        </w:rPr>
        <w:t>2. Reunión con Santiago Soto adjunto al ministro de economía y finanzas.</w:t>
      </w:r>
    </w:p>
    <w:p>
      <w:pPr>
        <w:pStyle w:val="Cuerpodetexto"/>
        <w:tabs>
          <w:tab w:val="left" w:pos="7371" w:leader="none"/>
          <w:tab w:val="left" w:pos="7513" w:leader="none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left"/>
        <w:rPr/>
      </w:pPr>
      <w:r>
        <w:rPr>
          <w:rFonts w:ascii="Verdana" w:hAnsi="Verdana"/>
          <w:sz w:val="20"/>
          <w:szCs w:val="20"/>
        </w:rPr>
        <w:t xml:space="preserve">Los ediles trasmitimos diferentes inquietudes sobre temas </w:t>
      </w:r>
      <w:r>
        <w:rPr>
          <w:rFonts w:ascii="Verdana" w:hAnsi="Verdana"/>
          <w:sz w:val="20"/>
          <w:szCs w:val="20"/>
        </w:rPr>
        <w:t>económicos</w:t>
      </w:r>
      <w:r>
        <w:rPr>
          <w:rFonts w:ascii="Verdana" w:hAnsi="Verdana"/>
          <w:sz w:val="20"/>
          <w:szCs w:val="20"/>
        </w:rPr>
        <w:t xml:space="preserve"> y tributarios de frontera al cual el Sr. Soto adjunto el MEF tomo nota.</w:t>
        <w:br/>
        <w:br/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3. Presentación por parte de representes del frente amplio de un documento BORRADOR de posibles aplicaciones que plantean sobre cometido de la Comisión Asesora de Hacienda, Cuentas y Presupuesto ha estudio de la comisión.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SE ADJUNTA LO PRESENTADO </w:t>
      </w:r>
    </w:p>
    <w:p>
      <w:pPr>
        <w:pStyle w:val="Cuerpodetexto"/>
        <w:tabs>
          <w:tab w:val="left" w:pos="7371" w:leader="none"/>
          <w:tab w:val="left" w:pos="7513" w:leader="none"/>
        </w:tabs>
        <w:jc w:val="left"/>
        <w:rPr/>
      </w:pPr>
      <w:r>
        <w:rPr>
          <w:rFonts w:ascii="Verdana" w:hAnsi="Verdana"/>
          <w:sz w:val="20"/>
          <w:szCs w:val="20"/>
        </w:rPr>
        <w:t>Comisión Asesora de Hacienda, Cuentas y Presupuesto</w:t>
        <w:br/>
        <w:br/>
        <w:t>La Comisión Asesora de Hacienda, Cuentas y Presupuesto es el órgano encargado de la elaboración y análisis del presupuesto del Congreso Nacional de Ediles, asegurando una planificación responsable y ajustada a la normativa vigente. Asimismo, podrá estudiar y recomendar sobre presupuestos departamentales u otros asuntos de carácter económico-financiero que sean propuestos por los ediles de cualquier departamento del país.</w:t>
        <w:br/>
        <w:br/>
        <w:t>Cometidos específicos:</w:t>
        <w:br/>
        <w:br/>
        <w:t>1. Elaboración del Presupuesto del Congreso:</w:t>
        <w:br/>
        <w:br/>
        <w:t>Preparar anualmente el proyecto de presupuesto del Congreso Nacional de Ediles, contemplando los recursos necesarios para su funcionamiento administrativo, las actividades institucionales, las instancias de capacitación y el trabajo de las comisiones permanentes.</w:t>
        <w:br/>
        <w:br/>
        <w:t>Presentar el proyecto al Plenario para su discusión y eventual aprobación.</w:t>
        <w:br/>
        <w:br/>
        <w:t>2. Análisis y Dictamen sobre Asuntos Financieros:</w:t>
        <w:br/>
        <w:br/>
        <w:t>Estudiar y emitir informe sobre las propuestas de asignación de recursos que surjan de la Mesa Permanente o del Plenario.</w:t>
        <w:br/>
        <w:br/>
        <w:t>Considerar y dictaminar sobre las modificaciones presupuestales que se planteen durante el ejercicio.</w:t>
        <w:br/>
        <w:br/>
        <w:t>Analizar los presupuestos de las Juntas Departamentales y otros temas vinculados a la gestión económico-financiera, siempre que dichos asuntos sean presentados por ediles de cualquier departamento del país.</w:t>
        <w:br/>
        <w:br/>
        <w:t>3. Asesoramiento Financiero:</w:t>
        <w:br/>
        <w:br/>
        <w:t>Brindar recomendaciones técnicas en materia presupuestal y financiera cuando sean solicitadas por el Plenario o la Mesa Permanente.</w:t>
        <w:br/>
        <w:br/>
        <w:t>Contribuir al fortalecimiento de la capacidad de análisis financiero de los ediles en relación con los presupuestos departamentales.</w:t>
        <w:br/>
        <w:br/>
        <w:t>Integración y Funcionamiento:</w:t>
        <w:br/>
        <w:br/>
        <w:t>La Comisión estará integrada por siete (7), nueve (9) o once (11) ediles, designados según los acuerdos alcanzados entre las bancadas.</w:t>
        <w:br/>
        <w:br/>
        <w:t>De entre sus miembros, la Comisión elegirá a un/a Presidente/a y a un/a Secretario/a.</w:t>
        <w:br/>
        <w:br/>
        <w:t>Se incorporará un miembro extra en calidad de Coordinador, designado por la Mesa Permanente, que participará en las sesiones sin derecho a voto.</w:t>
        <w:br/>
        <w:br/>
        <w:t>El Tesorero del Congreso podrá participar en todas las reuniones, ya sea por decisión propia o a solicitud de la Comisión, con el fin de brindar o recibir los informes que ésta considere pertinentes.</w:t>
        <w:br/>
        <w:br/>
        <w:t>Importancia institucional:</w:t>
        <w:br/>
        <w:t>La Comisión Asesora de Hacienda, Cuentas y Presupuesto garantiza que el Congreso Nacional de Ediles cuente con un presupuesto sólido y transparente, al tiempo que actúa como un espacio de apoyo técnico y político para el análisis de los presupuestos departamentales y de los asuntos financieros que interesen a los ediles de todo el país.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 – La comisión solicita que se curse invitación al Director de Administración del departamento de Paysandu para reunirse con la comisión en la próxima actividad del congreso a realizarse en dicho departamento.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No habiendo más temas para tratar, se da por finalizada la reunión.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>Secretaria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4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5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HACIENDA, CUENTAS Y PRESUPUESTO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2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LibreOffice/6.0.7.3$Windows_X86_64 LibreOffice_project/dc89aa7a9eabfd848af146d5086077aeed2ae4a5</Application>
  <Pages>4</Pages>
  <Words>949</Words>
  <Characters>5762</Characters>
  <CharactersWithSpaces>6844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2024-11-18T17:52:00Z</dcterms:created>
  <dc:creator>win</dc:creator>
  <dc:description/>
  <dc:language>en-US</dc:language>
  <cp:lastModifiedBy/>
  <cp:lastPrinted>2024-11-02T14:24:00Z</cp:lastPrinted>
  <dcterms:modified xsi:type="dcterms:W3CDTF">2025-11-12T16:25:31Z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